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Cs w:val="32"/>
        </w:rPr>
      </w:pPr>
      <w:r>
        <w:rPr>
          <w:rFonts w:hint="eastAsia" w:ascii="黑体" w:hAnsi="黑体" w:eastAsia="黑体"/>
          <w:szCs w:val="32"/>
        </w:rPr>
        <w:t>附件</w:t>
      </w:r>
      <w:r>
        <w:rPr>
          <w:rFonts w:ascii="黑体" w:hAnsi="黑体" w:eastAsia="黑体"/>
          <w:szCs w:val="32"/>
        </w:rPr>
        <w:t>2</w:t>
      </w:r>
    </w:p>
    <w:p>
      <w:pPr>
        <w:snapToGrid w:val="0"/>
        <w:jc w:val="center"/>
        <w:rPr>
          <w:rFonts w:ascii="方正小标宋简体" w:hAnsi="黑体" w:eastAsia="方正小标宋简体"/>
          <w:sz w:val="36"/>
          <w:szCs w:val="36"/>
        </w:rPr>
      </w:pPr>
      <w:r>
        <w:rPr>
          <w:rFonts w:hint="eastAsia" w:ascii="方正小标宋简体" w:hAnsi="黑体" w:eastAsia="方正小标宋简体"/>
          <w:sz w:val="36"/>
          <w:szCs w:val="36"/>
        </w:rPr>
        <w:t>中国建设工程造价管理协会</w:t>
      </w:r>
    </w:p>
    <w:p>
      <w:pPr>
        <w:snapToGrid w:val="0"/>
        <w:jc w:val="center"/>
        <w:rPr>
          <w:rFonts w:ascii="方正小标宋简体" w:hAnsi="黑体" w:eastAsia="方正小标宋简体"/>
          <w:sz w:val="36"/>
          <w:szCs w:val="36"/>
        </w:rPr>
      </w:pPr>
      <w:r>
        <w:rPr>
          <w:rFonts w:hint="eastAsia" w:ascii="方正小标宋简体" w:hAnsi="黑体" w:eastAsia="方正小标宋简体"/>
          <w:sz w:val="36"/>
          <w:szCs w:val="36"/>
        </w:rPr>
        <w:t>团体标准项目建议书</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35"/>
        <w:gridCol w:w="2409"/>
        <w:gridCol w:w="2566"/>
        <w:gridCol w:w="1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jc w:val="center"/>
        </w:trPr>
        <w:tc>
          <w:tcPr>
            <w:tcW w:w="2235" w:type="dxa"/>
            <w:vAlign w:val="center"/>
          </w:tcPr>
          <w:p>
            <w:pPr>
              <w:snapToGrid w:val="0"/>
              <w:jc w:val="center"/>
              <w:rPr>
                <w:rFonts w:ascii="仿宋" w:hAnsi="仿宋"/>
                <w:sz w:val="28"/>
                <w:szCs w:val="28"/>
              </w:rPr>
            </w:pPr>
            <w:r>
              <w:rPr>
                <w:rFonts w:hint="eastAsia" w:ascii="仿宋" w:hAnsi="仿宋"/>
                <w:sz w:val="28"/>
                <w:szCs w:val="28"/>
              </w:rPr>
              <w:t>标准中文名称</w:t>
            </w:r>
          </w:p>
        </w:tc>
        <w:tc>
          <w:tcPr>
            <w:tcW w:w="6287" w:type="dxa"/>
            <w:gridSpan w:val="3"/>
            <w:vAlign w:val="center"/>
          </w:tcPr>
          <w:p>
            <w:pPr>
              <w:snapToGrid w:val="0"/>
              <w:jc w:val="center"/>
              <w:rPr>
                <w:rFonts w:ascii="仿宋" w:hAnsi="仿宋"/>
                <w:sz w:val="28"/>
                <w:szCs w:val="28"/>
              </w:rPr>
            </w:pPr>
            <w:r>
              <w:rPr>
                <w:rFonts w:hint="eastAsia" w:ascii="仿宋" w:hAnsi="仿宋"/>
                <w:sz w:val="28"/>
                <w:szCs w:val="28"/>
              </w:rPr>
              <w:t>《建设项目设计概算编审规范》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2235" w:type="dxa"/>
            <w:vAlign w:val="center"/>
          </w:tcPr>
          <w:p>
            <w:pPr>
              <w:snapToGrid w:val="0"/>
              <w:jc w:val="center"/>
              <w:rPr>
                <w:rFonts w:ascii="仿宋" w:hAnsi="仿宋"/>
                <w:sz w:val="28"/>
                <w:szCs w:val="28"/>
              </w:rPr>
            </w:pPr>
            <w:r>
              <w:rPr>
                <w:rFonts w:hint="eastAsia" w:ascii="仿宋" w:hAnsi="仿宋"/>
                <w:sz w:val="28"/>
                <w:szCs w:val="28"/>
              </w:rPr>
              <w:t>制定/修订</w:t>
            </w:r>
          </w:p>
        </w:tc>
        <w:tc>
          <w:tcPr>
            <w:tcW w:w="2409" w:type="dxa"/>
            <w:vAlign w:val="center"/>
          </w:tcPr>
          <w:p>
            <w:pPr>
              <w:snapToGrid w:val="0"/>
              <w:jc w:val="center"/>
              <w:rPr>
                <w:rFonts w:ascii="仿宋" w:hAnsi="仿宋"/>
                <w:sz w:val="28"/>
                <w:szCs w:val="28"/>
              </w:rPr>
            </w:pPr>
            <w:r>
              <w:rPr>
                <w:rFonts w:hint="eastAsia" w:ascii="仿宋" w:hAnsi="仿宋"/>
                <w:sz w:val="28"/>
                <w:szCs w:val="28"/>
              </w:rPr>
              <w:sym w:font="Wingdings 2" w:char="0052"/>
            </w:r>
            <w:r>
              <w:rPr>
                <w:rFonts w:hint="eastAsia" w:ascii="仿宋" w:hAnsi="仿宋"/>
                <w:sz w:val="28"/>
                <w:szCs w:val="28"/>
              </w:rPr>
              <w:t>制定 □修订</w:t>
            </w:r>
          </w:p>
        </w:tc>
        <w:tc>
          <w:tcPr>
            <w:tcW w:w="2566" w:type="dxa"/>
            <w:vAlign w:val="center"/>
          </w:tcPr>
          <w:p>
            <w:pPr>
              <w:snapToGrid w:val="0"/>
              <w:jc w:val="center"/>
              <w:rPr>
                <w:rFonts w:ascii="仿宋" w:hAnsi="仿宋"/>
                <w:sz w:val="28"/>
                <w:szCs w:val="28"/>
              </w:rPr>
            </w:pPr>
            <w:r>
              <w:rPr>
                <w:rFonts w:hint="eastAsia" w:ascii="仿宋" w:hAnsi="仿宋"/>
                <w:sz w:val="28"/>
                <w:szCs w:val="28"/>
              </w:rPr>
              <w:t>被修订的团体标准编号</w:t>
            </w:r>
          </w:p>
        </w:tc>
        <w:tc>
          <w:tcPr>
            <w:tcW w:w="1312" w:type="dxa"/>
            <w:vAlign w:val="center"/>
          </w:tcPr>
          <w:p>
            <w:pPr>
              <w:snapToGrid w:val="0"/>
              <w:jc w:val="center"/>
              <w:rPr>
                <w:rFonts w:ascii="仿宋" w:hAnsi="仿宋"/>
                <w:sz w:val="28"/>
                <w:szCs w:val="28"/>
              </w:rPr>
            </w:pPr>
            <w:r>
              <w:rPr>
                <w:rFonts w:hint="eastAsia" w:ascii="仿宋" w:hAnsi="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1" w:hRule="atLeast"/>
          <w:jc w:val="center"/>
        </w:trPr>
        <w:tc>
          <w:tcPr>
            <w:tcW w:w="2235" w:type="dxa"/>
            <w:vAlign w:val="center"/>
          </w:tcPr>
          <w:p>
            <w:pPr>
              <w:snapToGrid w:val="0"/>
              <w:jc w:val="center"/>
              <w:rPr>
                <w:rFonts w:ascii="仿宋" w:hAnsi="仿宋"/>
                <w:sz w:val="28"/>
                <w:szCs w:val="28"/>
              </w:rPr>
            </w:pPr>
            <w:r>
              <w:rPr>
                <w:rFonts w:hint="eastAsia" w:ascii="仿宋" w:hAnsi="仿宋"/>
                <w:sz w:val="28"/>
                <w:szCs w:val="28"/>
              </w:rPr>
              <w:t>对应国家标准或</w:t>
            </w:r>
          </w:p>
          <w:p>
            <w:pPr>
              <w:snapToGrid w:val="0"/>
              <w:jc w:val="center"/>
              <w:rPr>
                <w:rFonts w:ascii="仿宋" w:hAnsi="仿宋"/>
                <w:sz w:val="28"/>
                <w:szCs w:val="28"/>
              </w:rPr>
            </w:pPr>
            <w:r>
              <w:rPr>
                <w:rFonts w:hint="eastAsia" w:ascii="仿宋" w:hAnsi="仿宋"/>
                <w:sz w:val="28"/>
                <w:szCs w:val="28"/>
              </w:rPr>
              <w:t>行业标准情况</w:t>
            </w:r>
          </w:p>
        </w:tc>
        <w:tc>
          <w:tcPr>
            <w:tcW w:w="2409" w:type="dxa"/>
            <w:vAlign w:val="center"/>
          </w:tcPr>
          <w:p>
            <w:pPr>
              <w:snapToGrid w:val="0"/>
              <w:ind w:firstLine="276" w:firstLineChars="100"/>
              <w:rPr>
                <w:rFonts w:ascii="仿宋" w:hAnsi="仿宋"/>
                <w:sz w:val="28"/>
                <w:szCs w:val="28"/>
              </w:rPr>
            </w:pPr>
            <w:r>
              <w:rPr>
                <w:rFonts w:hint="eastAsia" w:ascii="仿宋" w:hAnsi="仿宋"/>
                <w:sz w:val="28"/>
                <w:szCs w:val="28"/>
              </w:rPr>
              <w:t xml:space="preserve">□有 </w:t>
            </w:r>
            <w:r>
              <w:rPr>
                <w:rFonts w:ascii="仿宋" w:hAnsi="仿宋"/>
                <w:sz w:val="28"/>
                <w:szCs w:val="28"/>
              </w:rPr>
              <w:t xml:space="preserve"> </w:t>
            </w:r>
            <w:r>
              <w:rPr>
                <w:rFonts w:hint="eastAsia" w:ascii="仿宋" w:hAnsi="仿宋"/>
                <w:sz w:val="28"/>
                <w:szCs w:val="28"/>
              </w:rPr>
              <w:t xml:space="preserve"> </w:t>
            </w:r>
            <w:r>
              <w:rPr>
                <w:rFonts w:hint="eastAsia" w:ascii="仿宋" w:hAnsi="仿宋"/>
                <w:sz w:val="28"/>
                <w:szCs w:val="28"/>
              </w:rPr>
              <w:sym w:font="Wingdings 2" w:char="0052"/>
            </w:r>
            <w:r>
              <w:rPr>
                <w:rFonts w:hint="eastAsia" w:ascii="仿宋" w:hAnsi="仿宋"/>
                <w:sz w:val="28"/>
                <w:szCs w:val="28"/>
              </w:rPr>
              <w:t>无</w:t>
            </w:r>
          </w:p>
        </w:tc>
        <w:tc>
          <w:tcPr>
            <w:tcW w:w="2566" w:type="dxa"/>
            <w:vAlign w:val="center"/>
          </w:tcPr>
          <w:p>
            <w:pPr>
              <w:snapToGrid w:val="0"/>
              <w:jc w:val="center"/>
              <w:rPr>
                <w:rFonts w:ascii="仿宋" w:hAnsi="仿宋"/>
                <w:sz w:val="28"/>
                <w:szCs w:val="28"/>
              </w:rPr>
            </w:pPr>
            <w:r>
              <w:rPr>
                <w:rFonts w:hint="eastAsia" w:ascii="仿宋" w:hAnsi="仿宋"/>
                <w:sz w:val="28"/>
                <w:szCs w:val="28"/>
              </w:rPr>
              <w:t>对应国家标</w:t>
            </w:r>
          </w:p>
          <w:p>
            <w:pPr>
              <w:snapToGrid w:val="0"/>
              <w:jc w:val="center"/>
              <w:rPr>
                <w:rFonts w:ascii="仿宋" w:hAnsi="仿宋"/>
                <w:sz w:val="28"/>
                <w:szCs w:val="28"/>
              </w:rPr>
            </w:pPr>
            <w:r>
              <w:rPr>
                <w:rFonts w:hint="eastAsia" w:ascii="仿宋" w:hAnsi="仿宋"/>
                <w:sz w:val="28"/>
                <w:szCs w:val="28"/>
              </w:rPr>
              <w:t>准或行业标准编号</w:t>
            </w:r>
          </w:p>
        </w:tc>
        <w:tc>
          <w:tcPr>
            <w:tcW w:w="1312" w:type="dxa"/>
            <w:vAlign w:val="center"/>
          </w:tcPr>
          <w:p>
            <w:pPr>
              <w:snapToGrid w:val="0"/>
              <w:jc w:val="center"/>
              <w:rPr>
                <w:rFonts w:ascii="仿宋" w:hAnsi="仿宋"/>
                <w:sz w:val="28"/>
                <w:szCs w:val="28"/>
              </w:rPr>
            </w:pPr>
            <w:r>
              <w:rPr>
                <w:rFonts w:hint="eastAsia" w:ascii="仿宋" w:hAnsi="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2235" w:type="dxa"/>
            <w:vAlign w:val="center"/>
          </w:tcPr>
          <w:p>
            <w:pPr>
              <w:snapToGrid w:val="0"/>
              <w:jc w:val="center"/>
              <w:rPr>
                <w:rFonts w:ascii="仿宋" w:hAnsi="仿宋"/>
                <w:sz w:val="28"/>
                <w:szCs w:val="28"/>
              </w:rPr>
            </w:pPr>
            <w:r>
              <w:rPr>
                <w:rFonts w:hint="eastAsia" w:ascii="仿宋" w:hAnsi="仿宋"/>
                <w:sz w:val="28"/>
                <w:szCs w:val="28"/>
              </w:rPr>
              <w:t>项目提出单位</w:t>
            </w:r>
          </w:p>
        </w:tc>
        <w:tc>
          <w:tcPr>
            <w:tcW w:w="6287" w:type="dxa"/>
            <w:gridSpan w:val="3"/>
            <w:vAlign w:val="center"/>
          </w:tcPr>
          <w:p>
            <w:pPr>
              <w:snapToGrid w:val="0"/>
              <w:jc w:val="center"/>
              <w:rPr>
                <w:rFonts w:ascii="仿宋" w:hAnsi="仿宋"/>
                <w:sz w:val="28"/>
                <w:szCs w:val="28"/>
              </w:rPr>
            </w:pPr>
            <w:r>
              <w:rPr>
                <w:rFonts w:hint="eastAsia" w:ascii="仿宋" w:hAnsi="仿宋"/>
                <w:sz w:val="28"/>
                <w:szCs w:val="28"/>
              </w:rPr>
              <w:t>南京凯盛国际工程有限公司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2235" w:type="dxa"/>
            <w:vAlign w:val="center"/>
          </w:tcPr>
          <w:p>
            <w:pPr>
              <w:snapToGrid w:val="0"/>
              <w:jc w:val="center"/>
              <w:rPr>
                <w:rFonts w:ascii="仿宋" w:hAnsi="仿宋"/>
                <w:sz w:val="28"/>
                <w:szCs w:val="28"/>
              </w:rPr>
            </w:pPr>
            <w:r>
              <w:rPr>
                <w:rFonts w:hint="eastAsia" w:ascii="仿宋" w:hAnsi="仿宋"/>
                <w:sz w:val="28"/>
                <w:szCs w:val="28"/>
              </w:rPr>
              <w:t>计划编制周期</w:t>
            </w:r>
          </w:p>
        </w:tc>
        <w:tc>
          <w:tcPr>
            <w:tcW w:w="6287" w:type="dxa"/>
            <w:gridSpan w:val="3"/>
            <w:vAlign w:val="center"/>
          </w:tcPr>
          <w:p>
            <w:pPr>
              <w:snapToGrid w:val="0"/>
              <w:jc w:val="center"/>
              <w:rPr>
                <w:rFonts w:ascii="仿宋" w:hAnsi="仿宋"/>
                <w:sz w:val="28"/>
                <w:szCs w:val="28"/>
              </w:rPr>
            </w:pPr>
            <w:r>
              <w:rPr>
                <w:rFonts w:hint="eastAsia" w:ascii="仿宋" w:hAnsi="仿宋"/>
                <w:sz w:val="28"/>
                <w:szCs w:val="28"/>
                <w:u w:val="single"/>
              </w:rPr>
              <w:t xml:space="preserve"> </w:t>
            </w:r>
            <w:r>
              <w:rPr>
                <w:rFonts w:ascii="仿宋" w:hAnsi="仿宋"/>
                <w:sz w:val="28"/>
                <w:szCs w:val="28"/>
                <w:u w:val="single"/>
              </w:rPr>
              <w:t>1</w:t>
            </w:r>
            <w:r>
              <w:rPr>
                <w:rFonts w:hint="eastAsia" w:ascii="仿宋" w:hAnsi="仿宋"/>
                <w:sz w:val="28"/>
                <w:szCs w:val="28"/>
                <w:u w:val="single"/>
                <w:lang w:val="en-US" w:eastAsia="zh-CN"/>
              </w:rPr>
              <w:t>2</w:t>
            </w:r>
            <w:r>
              <w:rPr>
                <w:rFonts w:ascii="仿宋" w:hAnsi="仿宋"/>
                <w:sz w:val="28"/>
                <w:szCs w:val="28"/>
                <w:u w:val="single"/>
              </w:rPr>
              <w:t xml:space="preserve"> </w:t>
            </w:r>
            <w:r>
              <w:rPr>
                <w:rFonts w:hint="eastAsia" w:ascii="仿宋" w:hAnsi="仿宋"/>
                <w:sz w:val="28"/>
                <w:szCs w:val="28"/>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0" w:hRule="atLeast"/>
          <w:jc w:val="center"/>
        </w:trPr>
        <w:tc>
          <w:tcPr>
            <w:tcW w:w="8522" w:type="dxa"/>
            <w:gridSpan w:val="4"/>
          </w:tcPr>
          <w:p>
            <w:pPr>
              <w:snapToGrid w:val="0"/>
              <w:spacing w:line="360" w:lineRule="auto"/>
              <w:jc w:val="left"/>
              <w:rPr>
                <w:rFonts w:hint="eastAsia" w:ascii="仿宋" w:hAnsi="仿宋"/>
                <w:b/>
                <w:bCs/>
                <w:kern w:val="0"/>
                <w:sz w:val="28"/>
                <w:szCs w:val="28"/>
              </w:rPr>
            </w:pPr>
            <w:r>
              <w:rPr>
                <w:rFonts w:hint="eastAsia" w:ascii="仿宋" w:hAnsi="仿宋"/>
                <w:b/>
                <w:bCs/>
                <w:kern w:val="0"/>
                <w:sz w:val="28"/>
                <w:szCs w:val="28"/>
              </w:rPr>
              <w:t>标准立项目的及意义，并分析其可行性与必要性：</w:t>
            </w:r>
          </w:p>
          <w:p>
            <w:pPr>
              <w:keepNext w:val="0"/>
              <w:keepLines w:val="0"/>
              <w:pageBreakBefore w:val="0"/>
              <w:widowControl w:val="0"/>
              <w:kinsoku/>
              <w:wordWrap/>
              <w:overflowPunct/>
              <w:topLinePunct w:val="0"/>
              <w:autoSpaceDE/>
              <w:autoSpaceDN/>
              <w:bidi w:val="0"/>
              <w:adjustRightInd/>
              <w:snapToGrid/>
              <w:spacing w:line="460" w:lineRule="exact"/>
              <w:ind w:firstLine="552" w:firstLineChars="200"/>
              <w:jc w:val="left"/>
              <w:textAlignment w:val="auto"/>
              <w:rPr>
                <w:rFonts w:ascii="仿宋" w:hAnsi="仿宋"/>
                <w:sz w:val="28"/>
                <w:szCs w:val="28"/>
              </w:rPr>
            </w:pPr>
            <w:r>
              <w:rPr>
                <w:rFonts w:hint="eastAsia" w:ascii="仿宋" w:hAnsi="仿宋"/>
                <w:sz w:val="28"/>
                <w:szCs w:val="28"/>
              </w:rPr>
              <w:t>建设项目设计概算是初步设计文件的重要组成部分，是确定和控制建设项目全部投资的文件。</w:t>
            </w:r>
            <w:r>
              <w:rPr>
                <w:rFonts w:ascii="仿宋" w:hAnsi="仿宋"/>
                <w:sz w:val="28"/>
                <w:szCs w:val="28"/>
              </w:rPr>
              <w:t>国有资金投资或国有资金投资为主的建设项目，初步设</w:t>
            </w:r>
            <w:r>
              <w:rPr>
                <w:rFonts w:hint="eastAsia" w:ascii="仿宋" w:hAnsi="仿宋"/>
                <w:sz w:val="28"/>
                <w:szCs w:val="28"/>
              </w:rPr>
              <w:t>计阶段须编制设计概算。</w:t>
            </w:r>
          </w:p>
          <w:p>
            <w:pPr>
              <w:keepNext w:val="0"/>
              <w:keepLines w:val="0"/>
              <w:pageBreakBefore w:val="0"/>
              <w:widowControl w:val="0"/>
              <w:kinsoku/>
              <w:wordWrap/>
              <w:overflowPunct/>
              <w:topLinePunct w:val="0"/>
              <w:autoSpaceDE/>
              <w:autoSpaceDN/>
              <w:bidi w:val="0"/>
              <w:adjustRightInd/>
              <w:snapToGrid/>
              <w:spacing w:line="460" w:lineRule="exact"/>
              <w:ind w:firstLine="552" w:firstLineChars="200"/>
              <w:jc w:val="left"/>
              <w:textAlignment w:val="auto"/>
              <w:rPr>
                <w:rFonts w:ascii="仿宋" w:hAnsi="仿宋"/>
                <w:sz w:val="28"/>
                <w:szCs w:val="28"/>
              </w:rPr>
            </w:pPr>
            <w:r>
              <w:rPr>
                <w:rFonts w:hint="eastAsia" w:ascii="仿宋" w:hAnsi="仿宋"/>
                <w:sz w:val="28"/>
                <w:szCs w:val="28"/>
              </w:rPr>
              <w:t>根据国家发展改革委关于印发《中央预算内直接投资项目概算管理暂行办法》（</w:t>
            </w:r>
            <w:r>
              <w:rPr>
                <w:rFonts w:ascii="仿宋" w:hAnsi="仿宋"/>
                <w:sz w:val="28"/>
                <w:szCs w:val="28"/>
              </w:rPr>
              <w:t>发改投资〔2015〕482号</w:t>
            </w:r>
            <w:r>
              <w:rPr>
                <w:rFonts w:hint="eastAsia" w:ascii="仿宋" w:hAnsi="仿宋"/>
                <w:sz w:val="28"/>
                <w:szCs w:val="28"/>
              </w:rPr>
              <w:t>）的通知精神，概算</w:t>
            </w:r>
            <w:r>
              <w:rPr>
                <w:rFonts w:hint="eastAsia" w:ascii="仿宋" w:hAnsi="仿宋"/>
                <w:sz w:val="28"/>
                <w:szCs w:val="28"/>
                <w:lang w:val="en-US" w:eastAsia="zh-CN"/>
              </w:rPr>
              <w:t>应</w:t>
            </w:r>
            <w:r>
              <w:rPr>
                <w:rFonts w:hint="eastAsia" w:ascii="仿宋" w:hAnsi="仿宋"/>
                <w:sz w:val="28"/>
                <w:szCs w:val="28"/>
              </w:rPr>
              <w:t>包括国家规定的项目建设所需的全部费用，包括工程费用、工程建设其他费用、基本预备费、价差预备费等。经核定的概算</w:t>
            </w:r>
            <w:r>
              <w:rPr>
                <w:rFonts w:hint="eastAsia" w:ascii="仿宋" w:hAnsi="仿宋"/>
                <w:sz w:val="28"/>
                <w:szCs w:val="28"/>
                <w:lang w:val="en-US" w:eastAsia="zh-CN"/>
              </w:rPr>
              <w:t>才可</w:t>
            </w:r>
            <w:r>
              <w:rPr>
                <w:rFonts w:hint="eastAsia" w:ascii="仿宋" w:hAnsi="仿宋"/>
                <w:sz w:val="28"/>
                <w:szCs w:val="28"/>
              </w:rPr>
              <w:t>作为项目建设实施和控制投资的依据。除项目建设期价格大幅上涨、政策调整、地质条件发生重大变化和自然灾害等不可抗力因素外，经核定的概算不得突破。</w:t>
            </w:r>
          </w:p>
          <w:p>
            <w:pPr>
              <w:keepNext w:val="0"/>
              <w:keepLines w:val="0"/>
              <w:pageBreakBefore w:val="0"/>
              <w:widowControl w:val="0"/>
              <w:kinsoku/>
              <w:wordWrap/>
              <w:overflowPunct/>
              <w:topLinePunct w:val="0"/>
              <w:autoSpaceDE/>
              <w:autoSpaceDN/>
              <w:bidi w:val="0"/>
              <w:adjustRightInd/>
              <w:snapToGrid/>
              <w:spacing w:line="460" w:lineRule="exact"/>
              <w:ind w:firstLine="552" w:firstLineChars="200"/>
              <w:jc w:val="left"/>
              <w:textAlignment w:val="auto"/>
              <w:rPr>
                <w:rFonts w:ascii="仿宋" w:hAnsi="仿宋"/>
                <w:sz w:val="28"/>
                <w:szCs w:val="28"/>
              </w:rPr>
            </w:pPr>
            <w:r>
              <w:rPr>
                <w:rFonts w:ascii="仿宋" w:hAnsi="仿宋"/>
                <w:sz w:val="28"/>
                <w:szCs w:val="28"/>
              </w:rPr>
              <w:t>自</w:t>
            </w:r>
            <w:r>
              <w:rPr>
                <w:rFonts w:hint="eastAsia" w:ascii="仿宋" w:hAnsi="仿宋"/>
                <w:sz w:val="28"/>
                <w:szCs w:val="28"/>
                <w:lang w:val="en-US" w:eastAsia="zh-CN"/>
              </w:rPr>
              <w:t>协会标准</w:t>
            </w:r>
            <w:r>
              <w:rPr>
                <w:rFonts w:ascii="仿宋" w:hAnsi="仿宋"/>
                <w:sz w:val="28"/>
                <w:szCs w:val="28"/>
              </w:rPr>
              <w:t>《建设项目设计概算编审规程》（CECA/GC 2-2015）实施以来，在新建、扩建、改建等项目概算的编审和调整</w:t>
            </w:r>
            <w:r>
              <w:rPr>
                <w:rFonts w:hint="eastAsia" w:ascii="仿宋" w:hAnsi="仿宋"/>
                <w:sz w:val="28"/>
                <w:szCs w:val="28"/>
              </w:rPr>
              <w:t>中</w:t>
            </w:r>
            <w:r>
              <w:rPr>
                <w:rFonts w:hint="eastAsia" w:ascii="仿宋" w:hAnsi="仿宋"/>
                <w:sz w:val="28"/>
                <w:szCs w:val="28"/>
                <w:lang w:val="en-US" w:eastAsia="zh-CN"/>
              </w:rPr>
              <w:t>得到较</w:t>
            </w:r>
            <w:r>
              <w:rPr>
                <w:rFonts w:ascii="仿宋" w:hAnsi="仿宋"/>
                <w:sz w:val="28"/>
                <w:szCs w:val="28"/>
              </w:rPr>
              <w:t>广泛应用</w:t>
            </w:r>
            <w:r>
              <w:rPr>
                <w:rFonts w:hint="eastAsia" w:ascii="仿宋" w:hAnsi="仿宋"/>
                <w:sz w:val="28"/>
                <w:szCs w:val="28"/>
              </w:rPr>
              <w:t>，对</w:t>
            </w:r>
            <w:r>
              <w:rPr>
                <w:rFonts w:ascii="仿宋" w:hAnsi="仿宋"/>
                <w:sz w:val="28"/>
                <w:szCs w:val="28"/>
              </w:rPr>
              <w:t>规范建设项目设计阶段概算文件编制内容和深度方面发挥了重要作用</w:t>
            </w:r>
            <w:r>
              <w:rPr>
                <w:rFonts w:hint="eastAsia" w:ascii="仿宋" w:hAnsi="仿宋"/>
                <w:sz w:val="28"/>
                <w:szCs w:val="28"/>
              </w:rPr>
              <w:t>，</w:t>
            </w:r>
            <w:r>
              <w:rPr>
                <w:rFonts w:ascii="仿宋" w:hAnsi="仿宋"/>
                <w:sz w:val="28"/>
                <w:szCs w:val="28"/>
              </w:rPr>
              <w:t>提高了概算文件编制水平</w:t>
            </w:r>
            <w:r>
              <w:rPr>
                <w:rFonts w:hint="eastAsia" w:ascii="仿宋" w:hAnsi="仿宋"/>
                <w:sz w:val="28"/>
                <w:szCs w:val="28"/>
              </w:rPr>
              <w:t>，</w:t>
            </w:r>
            <w:r>
              <w:rPr>
                <w:rFonts w:ascii="仿宋" w:hAnsi="仿宋"/>
                <w:sz w:val="28"/>
                <w:szCs w:val="28"/>
              </w:rPr>
              <w:t>对合理确定和有效控制建设项目投资</w:t>
            </w:r>
            <w:r>
              <w:rPr>
                <w:rFonts w:hint="eastAsia" w:ascii="仿宋" w:hAnsi="仿宋"/>
                <w:sz w:val="28"/>
                <w:szCs w:val="28"/>
              </w:rPr>
              <w:t>起</w:t>
            </w:r>
            <w:r>
              <w:rPr>
                <w:rFonts w:ascii="仿宋" w:hAnsi="仿宋"/>
                <w:sz w:val="28"/>
                <w:szCs w:val="28"/>
              </w:rPr>
              <w:t>到了积极作用。</w:t>
            </w:r>
            <w:r>
              <w:rPr>
                <w:rFonts w:hint="eastAsia" w:ascii="仿宋" w:hAnsi="仿宋"/>
                <w:sz w:val="28"/>
                <w:szCs w:val="28"/>
                <w:lang w:val="en-US" w:eastAsia="zh-CN"/>
              </w:rPr>
              <w:t>目前，</w:t>
            </w:r>
            <w:r>
              <w:rPr>
                <w:rFonts w:ascii="仿宋" w:hAnsi="仿宋"/>
                <w:sz w:val="28"/>
                <w:szCs w:val="28"/>
              </w:rPr>
              <w:t>随着工程造价</w:t>
            </w:r>
            <w:r>
              <w:rPr>
                <w:rFonts w:hint="eastAsia" w:ascii="仿宋" w:hAnsi="仿宋"/>
                <w:sz w:val="28"/>
                <w:szCs w:val="28"/>
                <w:lang w:val="en-US" w:eastAsia="zh-CN"/>
              </w:rPr>
              <w:t>咨询行业的快速</w:t>
            </w:r>
            <w:r>
              <w:rPr>
                <w:rFonts w:ascii="仿宋" w:hAnsi="仿宋"/>
                <w:sz w:val="28"/>
                <w:szCs w:val="28"/>
              </w:rPr>
              <w:t>发展和国家相关法律法规</w:t>
            </w:r>
            <w:r>
              <w:rPr>
                <w:rFonts w:hint="eastAsia" w:ascii="仿宋" w:hAnsi="仿宋"/>
                <w:sz w:val="28"/>
                <w:szCs w:val="28"/>
              </w:rPr>
              <w:t>、</w:t>
            </w:r>
            <w:r>
              <w:rPr>
                <w:rFonts w:ascii="仿宋" w:hAnsi="仿宋"/>
                <w:sz w:val="28"/>
                <w:szCs w:val="28"/>
              </w:rPr>
              <w:t>标准规范</w:t>
            </w:r>
            <w:r>
              <w:rPr>
                <w:rFonts w:hint="eastAsia" w:ascii="仿宋" w:hAnsi="仿宋"/>
                <w:sz w:val="28"/>
                <w:szCs w:val="28"/>
                <w:lang w:val="en-US" w:eastAsia="zh-CN"/>
              </w:rPr>
              <w:t>的</w:t>
            </w:r>
            <w:r>
              <w:rPr>
                <w:rFonts w:ascii="仿宋" w:hAnsi="仿宋"/>
                <w:sz w:val="28"/>
                <w:szCs w:val="28"/>
              </w:rPr>
              <w:t>更新</w:t>
            </w:r>
            <w:r>
              <w:rPr>
                <w:rFonts w:hint="eastAsia" w:ascii="仿宋" w:hAnsi="仿宋"/>
                <w:sz w:val="28"/>
                <w:szCs w:val="28"/>
              </w:rPr>
              <w:t>，</w:t>
            </w:r>
            <w:r>
              <w:rPr>
                <w:rFonts w:hint="eastAsia" w:ascii="仿宋" w:hAnsi="仿宋"/>
                <w:sz w:val="28"/>
                <w:szCs w:val="28"/>
                <w:lang w:val="en-US" w:eastAsia="zh-CN"/>
              </w:rPr>
              <w:t>迫切需要编制适应当前行业发展的</w:t>
            </w:r>
            <w:r>
              <w:rPr>
                <w:rFonts w:ascii="仿宋" w:hAnsi="仿宋"/>
                <w:sz w:val="28"/>
                <w:szCs w:val="28"/>
              </w:rPr>
              <w:t>《建设项目设计概算编审</w:t>
            </w:r>
            <w:r>
              <w:rPr>
                <w:rFonts w:hint="eastAsia" w:ascii="仿宋" w:hAnsi="仿宋"/>
                <w:sz w:val="28"/>
                <w:szCs w:val="28"/>
                <w:lang w:val="en-US" w:eastAsia="zh-CN"/>
              </w:rPr>
              <w:t>规范</w:t>
            </w:r>
            <w:r>
              <w:rPr>
                <w:rFonts w:ascii="仿宋" w:hAnsi="仿宋"/>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552" w:firstLineChars="200"/>
              <w:jc w:val="left"/>
              <w:textAlignment w:val="auto"/>
              <w:rPr>
                <w:rFonts w:ascii="仿宋" w:hAnsi="仿宋"/>
                <w:sz w:val="28"/>
                <w:szCs w:val="28"/>
              </w:rPr>
            </w:pPr>
            <w:r>
              <w:rPr>
                <w:rFonts w:hint="eastAsia" w:ascii="仿宋" w:hAnsi="仿宋"/>
                <w:sz w:val="28"/>
                <w:szCs w:val="28"/>
                <w:lang w:val="en-US" w:eastAsia="zh-CN"/>
              </w:rPr>
              <w:t>尤其是</w:t>
            </w:r>
            <w:r>
              <w:rPr>
                <w:rFonts w:hint="eastAsia" w:ascii="仿宋" w:hAnsi="仿宋"/>
                <w:sz w:val="28"/>
                <w:szCs w:val="28"/>
              </w:rPr>
              <w:t>深化市场经济体制</w:t>
            </w:r>
            <w:r>
              <w:rPr>
                <w:rFonts w:hint="eastAsia" w:ascii="仿宋" w:hAnsi="仿宋"/>
                <w:sz w:val="28"/>
                <w:szCs w:val="28"/>
                <w:lang w:val="en-US" w:eastAsia="zh-CN"/>
              </w:rPr>
              <w:t>以来</w:t>
            </w:r>
            <w:r>
              <w:rPr>
                <w:rFonts w:hint="eastAsia" w:ascii="仿宋" w:hAnsi="仿宋"/>
                <w:sz w:val="28"/>
                <w:szCs w:val="28"/>
              </w:rPr>
              <w:t>，</w:t>
            </w:r>
            <w:r>
              <w:rPr>
                <w:rFonts w:ascii="仿宋" w:hAnsi="仿宋"/>
                <w:sz w:val="28"/>
                <w:szCs w:val="28"/>
              </w:rPr>
              <w:t>对建设项目的智能化、安全健康环保（包括防疫）等要求越来越高，以及近年来国家相关部门出台的一系列新规定如减税降费</w:t>
            </w:r>
            <w:r>
              <w:rPr>
                <w:rFonts w:hint="eastAsia" w:ascii="仿宋" w:hAnsi="仿宋"/>
                <w:sz w:val="28"/>
                <w:szCs w:val="28"/>
                <w:lang w:eastAsia="zh-CN"/>
              </w:rPr>
              <w:t>、</w:t>
            </w:r>
            <w:r>
              <w:rPr>
                <w:rFonts w:hint="eastAsia" w:ascii="仿宋" w:hAnsi="仿宋"/>
                <w:sz w:val="28"/>
                <w:szCs w:val="28"/>
              </w:rPr>
              <w:t>“</w:t>
            </w:r>
            <w:r>
              <w:rPr>
                <w:rFonts w:ascii="仿宋" w:hAnsi="仿宋"/>
                <w:sz w:val="28"/>
                <w:szCs w:val="28"/>
              </w:rPr>
              <w:t>营改增</w:t>
            </w:r>
            <w:r>
              <w:rPr>
                <w:rFonts w:hint="eastAsia" w:ascii="仿宋" w:hAnsi="仿宋"/>
                <w:sz w:val="28"/>
                <w:szCs w:val="28"/>
              </w:rPr>
              <w:t>”价税分离</w:t>
            </w:r>
            <w:r>
              <w:rPr>
                <w:rFonts w:ascii="仿宋" w:hAnsi="仿宋"/>
                <w:sz w:val="28"/>
                <w:szCs w:val="28"/>
              </w:rPr>
              <w:t>政策</w:t>
            </w:r>
            <w:r>
              <w:rPr>
                <w:rFonts w:hint="eastAsia" w:ascii="仿宋" w:hAnsi="仿宋"/>
                <w:sz w:val="28"/>
                <w:szCs w:val="28"/>
                <w:lang w:val="en-US" w:eastAsia="zh-CN"/>
              </w:rPr>
              <w:t>的实施，都迫切需要编制概算编审方面的标准规范</w:t>
            </w:r>
            <w:r>
              <w:rPr>
                <w:rFonts w:hint="eastAsia" w:ascii="仿宋" w:hAnsi="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5" w:hRule="atLeast"/>
          <w:jc w:val="center"/>
        </w:trPr>
        <w:tc>
          <w:tcPr>
            <w:tcW w:w="8522" w:type="dxa"/>
            <w:gridSpan w:val="4"/>
          </w:tcPr>
          <w:p>
            <w:pPr>
              <w:snapToGrid w:val="0"/>
              <w:spacing w:line="360" w:lineRule="auto"/>
              <w:jc w:val="left"/>
              <w:rPr>
                <w:rFonts w:hint="eastAsia" w:ascii="仿宋" w:hAnsi="仿宋"/>
                <w:b/>
                <w:bCs/>
                <w:kern w:val="0"/>
                <w:sz w:val="28"/>
                <w:szCs w:val="28"/>
              </w:rPr>
            </w:pPr>
            <w:r>
              <w:rPr>
                <w:rFonts w:hint="eastAsia" w:ascii="仿宋" w:hAnsi="仿宋"/>
                <w:b/>
                <w:bCs/>
                <w:kern w:val="0"/>
                <w:sz w:val="28"/>
                <w:szCs w:val="28"/>
              </w:rPr>
              <w:t>标准主要内容及适用范围：</w:t>
            </w:r>
          </w:p>
          <w:p>
            <w:pPr>
              <w:keepNext w:val="0"/>
              <w:keepLines w:val="0"/>
              <w:pageBreakBefore w:val="0"/>
              <w:widowControl w:val="0"/>
              <w:kinsoku/>
              <w:wordWrap/>
              <w:overflowPunct/>
              <w:topLinePunct w:val="0"/>
              <w:autoSpaceDE/>
              <w:autoSpaceDN/>
              <w:bidi w:val="0"/>
              <w:adjustRightInd/>
              <w:snapToGrid/>
              <w:spacing w:line="460" w:lineRule="exact"/>
              <w:ind w:firstLine="552" w:firstLineChars="200"/>
              <w:jc w:val="left"/>
              <w:textAlignment w:val="auto"/>
              <w:rPr>
                <w:rFonts w:hint="eastAsia" w:ascii="仿宋" w:hAnsi="仿宋"/>
                <w:sz w:val="28"/>
                <w:szCs w:val="28"/>
              </w:rPr>
            </w:pPr>
            <w:r>
              <w:rPr>
                <w:rFonts w:hint="eastAsia" w:ascii="仿宋" w:hAnsi="仿宋"/>
                <w:sz w:val="28"/>
                <w:szCs w:val="28"/>
              </w:rPr>
              <w:t>本标准主要内容包括：总则、术语、文件组成及应用表格、编制依据、编制办法、文件的编审程序和质量控制等。</w:t>
            </w:r>
          </w:p>
          <w:p>
            <w:pPr>
              <w:keepNext w:val="0"/>
              <w:keepLines w:val="0"/>
              <w:pageBreakBefore w:val="0"/>
              <w:widowControl w:val="0"/>
              <w:kinsoku/>
              <w:wordWrap/>
              <w:overflowPunct/>
              <w:topLinePunct w:val="0"/>
              <w:autoSpaceDE/>
              <w:autoSpaceDN/>
              <w:bidi w:val="0"/>
              <w:adjustRightInd/>
              <w:snapToGrid/>
              <w:spacing w:line="460" w:lineRule="exact"/>
              <w:ind w:firstLine="552" w:firstLineChars="200"/>
              <w:jc w:val="left"/>
              <w:textAlignment w:val="auto"/>
              <w:rPr>
                <w:rFonts w:ascii="仿宋" w:hAnsi="仿宋"/>
                <w:sz w:val="28"/>
                <w:szCs w:val="28"/>
              </w:rPr>
            </w:pPr>
            <w:r>
              <w:rPr>
                <w:rFonts w:hint="eastAsia" w:ascii="仿宋" w:hAnsi="仿宋"/>
                <w:sz w:val="28"/>
                <w:szCs w:val="28"/>
              </w:rPr>
              <w:t>本标准适用于新建、扩建、改建等项目概算的编审和调整。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4" w:hRule="atLeast"/>
          <w:jc w:val="center"/>
        </w:trPr>
        <w:tc>
          <w:tcPr>
            <w:tcW w:w="8522" w:type="dxa"/>
            <w:gridSpan w:val="4"/>
          </w:tcPr>
          <w:p>
            <w:pPr>
              <w:snapToGrid w:val="0"/>
              <w:spacing w:line="360" w:lineRule="auto"/>
              <w:jc w:val="left"/>
              <w:rPr>
                <w:rFonts w:hint="eastAsia" w:ascii="仿宋" w:hAnsi="仿宋"/>
                <w:b/>
                <w:bCs/>
                <w:kern w:val="0"/>
                <w:sz w:val="28"/>
                <w:szCs w:val="28"/>
              </w:rPr>
            </w:pPr>
            <w:r>
              <w:rPr>
                <w:rFonts w:hint="eastAsia" w:ascii="仿宋" w:hAnsi="仿宋"/>
                <w:b/>
                <w:bCs/>
                <w:kern w:val="0"/>
                <w:sz w:val="28"/>
                <w:szCs w:val="28"/>
              </w:rPr>
              <w:t>国内外相关标准的情况说明：</w:t>
            </w:r>
          </w:p>
          <w:p>
            <w:pPr>
              <w:keepNext w:val="0"/>
              <w:keepLines w:val="0"/>
              <w:pageBreakBefore w:val="0"/>
              <w:widowControl w:val="0"/>
              <w:kinsoku/>
              <w:wordWrap/>
              <w:overflowPunct/>
              <w:topLinePunct w:val="0"/>
              <w:autoSpaceDE/>
              <w:autoSpaceDN/>
              <w:bidi w:val="0"/>
              <w:adjustRightInd/>
              <w:snapToGrid/>
              <w:spacing w:line="460" w:lineRule="exact"/>
              <w:ind w:firstLine="552" w:firstLineChars="200"/>
              <w:jc w:val="left"/>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国内相关标准：</w:t>
            </w:r>
          </w:p>
          <w:p>
            <w:pPr>
              <w:keepNext w:val="0"/>
              <w:keepLines w:val="0"/>
              <w:pageBreakBefore w:val="0"/>
              <w:widowControl w:val="0"/>
              <w:kinsoku/>
              <w:wordWrap/>
              <w:overflowPunct/>
              <w:topLinePunct w:val="0"/>
              <w:autoSpaceDE/>
              <w:autoSpaceDN/>
              <w:bidi w:val="0"/>
              <w:adjustRightInd/>
              <w:snapToGrid/>
              <w:spacing w:line="460" w:lineRule="exact"/>
              <w:ind w:firstLine="552"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1、住房和城乡建设部《建筑工程设计文件编制深度规定（2016版）》3.10条有对概算文件</w:t>
            </w:r>
            <w:bookmarkStart w:id="0" w:name="_GoBack"/>
            <w:bookmarkEnd w:id="0"/>
            <w:r>
              <w:rPr>
                <w:rFonts w:hint="eastAsia" w:ascii="仿宋" w:hAnsi="仿宋" w:eastAsia="仿宋" w:cs="仿宋"/>
                <w:sz w:val="28"/>
                <w:szCs w:val="28"/>
              </w:rPr>
              <w:t>编制深度要求。</w:t>
            </w:r>
          </w:p>
          <w:p>
            <w:pPr>
              <w:keepNext w:val="0"/>
              <w:keepLines w:val="0"/>
              <w:pageBreakBefore w:val="0"/>
              <w:widowControl w:val="0"/>
              <w:kinsoku/>
              <w:wordWrap/>
              <w:overflowPunct/>
              <w:topLinePunct w:val="0"/>
              <w:autoSpaceDE/>
              <w:autoSpaceDN/>
              <w:bidi w:val="0"/>
              <w:adjustRightInd/>
              <w:snapToGrid/>
              <w:spacing w:line="460" w:lineRule="exact"/>
              <w:ind w:firstLine="552"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2、中价协《建设项目设计概算编审规程》（CECA/GC 2-2015）</w:t>
            </w:r>
          </w:p>
          <w:p>
            <w:pPr>
              <w:keepNext w:val="0"/>
              <w:keepLines w:val="0"/>
              <w:pageBreakBefore w:val="0"/>
              <w:widowControl w:val="0"/>
              <w:kinsoku/>
              <w:wordWrap/>
              <w:overflowPunct/>
              <w:topLinePunct w:val="0"/>
              <w:autoSpaceDE/>
              <w:autoSpaceDN/>
              <w:bidi w:val="0"/>
              <w:adjustRightInd/>
              <w:snapToGrid/>
              <w:spacing w:line="460" w:lineRule="exact"/>
              <w:ind w:firstLine="552"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3、住房和城乡建设部《市政工程设计概算编制办法》（建标</w:t>
            </w:r>
            <w:r>
              <w:rPr>
                <w:rFonts w:hint="eastAsia" w:ascii="仿宋" w:hAnsi="仿宋" w:cs="仿宋"/>
                <w:sz w:val="28"/>
                <w:szCs w:val="28"/>
                <w:lang w:eastAsia="zh-CN"/>
              </w:rPr>
              <w:t>〔</w:t>
            </w:r>
            <w:r>
              <w:rPr>
                <w:rFonts w:hint="eastAsia" w:ascii="仿宋" w:hAnsi="仿宋" w:eastAsia="仿宋" w:cs="仿宋"/>
                <w:sz w:val="28"/>
                <w:szCs w:val="28"/>
              </w:rPr>
              <w:t>2011</w:t>
            </w:r>
            <w:r>
              <w:rPr>
                <w:rFonts w:hint="eastAsia" w:ascii="仿宋" w:hAnsi="仿宋" w:cs="仿宋"/>
                <w:sz w:val="28"/>
                <w:szCs w:val="28"/>
                <w:lang w:eastAsia="zh-CN"/>
              </w:rPr>
              <w:t>〕</w:t>
            </w:r>
            <w:r>
              <w:rPr>
                <w:rFonts w:hint="eastAsia" w:ascii="仿宋" w:hAnsi="仿宋" w:eastAsia="仿宋" w:cs="仿宋"/>
                <w:sz w:val="28"/>
                <w:szCs w:val="28"/>
              </w:rPr>
              <w:t xml:space="preserve"> 1 号）</w:t>
            </w:r>
          </w:p>
          <w:p>
            <w:pPr>
              <w:keepNext w:val="0"/>
              <w:keepLines w:val="0"/>
              <w:pageBreakBefore w:val="0"/>
              <w:widowControl w:val="0"/>
              <w:kinsoku/>
              <w:wordWrap/>
              <w:overflowPunct/>
              <w:topLinePunct w:val="0"/>
              <w:autoSpaceDE/>
              <w:autoSpaceDN/>
              <w:bidi w:val="0"/>
              <w:adjustRightInd/>
              <w:snapToGrid/>
              <w:spacing w:line="460" w:lineRule="exact"/>
              <w:ind w:firstLine="552"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4、部分央企内部设计概算编制办法。</w:t>
            </w:r>
          </w:p>
          <w:p>
            <w:pPr>
              <w:keepNext w:val="0"/>
              <w:keepLines w:val="0"/>
              <w:pageBreakBefore w:val="0"/>
              <w:widowControl w:val="0"/>
              <w:kinsoku/>
              <w:wordWrap/>
              <w:overflowPunct/>
              <w:topLinePunct w:val="0"/>
              <w:autoSpaceDE/>
              <w:autoSpaceDN/>
              <w:bidi w:val="0"/>
              <w:adjustRightInd/>
              <w:snapToGrid/>
              <w:spacing w:line="460" w:lineRule="exact"/>
              <w:ind w:firstLine="552" w:firstLineChars="200"/>
              <w:jc w:val="left"/>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国外相关标准：</w:t>
            </w:r>
          </w:p>
          <w:p>
            <w:pPr>
              <w:keepNext w:val="0"/>
              <w:keepLines w:val="0"/>
              <w:pageBreakBefore w:val="0"/>
              <w:widowControl w:val="0"/>
              <w:kinsoku/>
              <w:wordWrap/>
              <w:overflowPunct/>
              <w:topLinePunct w:val="0"/>
              <w:autoSpaceDE/>
              <w:autoSpaceDN/>
              <w:bidi w:val="0"/>
              <w:adjustRightInd/>
              <w:snapToGrid/>
              <w:spacing w:line="460" w:lineRule="exact"/>
              <w:ind w:firstLine="552" w:firstLineChars="200"/>
              <w:jc w:val="left"/>
              <w:textAlignment w:val="auto"/>
              <w:rPr>
                <w:rFonts w:ascii="仿宋" w:hAnsi="仿宋"/>
                <w:sz w:val="28"/>
                <w:szCs w:val="28"/>
              </w:rPr>
            </w:pPr>
            <w:r>
              <w:rPr>
                <w:rFonts w:hint="eastAsia" w:ascii="仿宋" w:hAnsi="仿宋" w:eastAsia="仿宋" w:cs="仿宋"/>
                <w:sz w:val="28"/>
                <w:szCs w:val="28"/>
              </w:rPr>
              <w:t>暂未发现国外有同类标准。</w:t>
            </w:r>
          </w:p>
        </w:tc>
      </w:tr>
    </w:tbl>
    <w:p>
      <w:pPr>
        <w:snapToGrid w:val="0"/>
        <w:ind w:firstLine="103" w:firstLineChars="50"/>
        <w:jc w:val="left"/>
        <w:rPr>
          <w:rFonts w:ascii="仿宋" w:hAnsi="仿宋"/>
          <w:sz w:val="21"/>
          <w:szCs w:val="21"/>
        </w:rPr>
      </w:pPr>
    </w:p>
    <w:sectPr>
      <w:pgSz w:w="11906" w:h="16838"/>
      <w:pgMar w:top="2098" w:right="1474" w:bottom="1985" w:left="1588" w:header="0" w:footer="113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57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4DE5"/>
    <w:rsid w:val="000161E7"/>
    <w:rsid w:val="00025E81"/>
    <w:rsid w:val="0003761D"/>
    <w:rsid w:val="000769D6"/>
    <w:rsid w:val="00077D16"/>
    <w:rsid w:val="0008340C"/>
    <w:rsid w:val="0009166E"/>
    <w:rsid w:val="0009479B"/>
    <w:rsid w:val="000A0241"/>
    <w:rsid w:val="000A70EA"/>
    <w:rsid w:val="000B766C"/>
    <w:rsid w:val="000C1FE4"/>
    <w:rsid w:val="000D1B03"/>
    <w:rsid w:val="000D3F93"/>
    <w:rsid w:val="000D5E82"/>
    <w:rsid w:val="000F74C9"/>
    <w:rsid w:val="00107732"/>
    <w:rsid w:val="00117A4A"/>
    <w:rsid w:val="0012142A"/>
    <w:rsid w:val="00125A00"/>
    <w:rsid w:val="001266BD"/>
    <w:rsid w:val="00137306"/>
    <w:rsid w:val="00143C1F"/>
    <w:rsid w:val="00146A67"/>
    <w:rsid w:val="00153265"/>
    <w:rsid w:val="0015470D"/>
    <w:rsid w:val="001A2329"/>
    <w:rsid w:val="001A2629"/>
    <w:rsid w:val="001A6FC9"/>
    <w:rsid w:val="001C0DE3"/>
    <w:rsid w:val="001C1B4E"/>
    <w:rsid w:val="001C6468"/>
    <w:rsid w:val="001C777C"/>
    <w:rsid w:val="001D5E26"/>
    <w:rsid w:val="001E241E"/>
    <w:rsid w:val="001F133B"/>
    <w:rsid w:val="001F50EF"/>
    <w:rsid w:val="001F5B2C"/>
    <w:rsid w:val="00205C1A"/>
    <w:rsid w:val="00206953"/>
    <w:rsid w:val="00216A5B"/>
    <w:rsid w:val="00217F9F"/>
    <w:rsid w:val="00224EA8"/>
    <w:rsid w:val="00234C29"/>
    <w:rsid w:val="00247FE1"/>
    <w:rsid w:val="002818D1"/>
    <w:rsid w:val="00286ECA"/>
    <w:rsid w:val="0029599F"/>
    <w:rsid w:val="00295F76"/>
    <w:rsid w:val="002A0B6C"/>
    <w:rsid w:val="002B4F26"/>
    <w:rsid w:val="002B62A5"/>
    <w:rsid w:val="002D4457"/>
    <w:rsid w:val="002D5616"/>
    <w:rsid w:val="002F1534"/>
    <w:rsid w:val="002F76C1"/>
    <w:rsid w:val="00316CDC"/>
    <w:rsid w:val="00317B81"/>
    <w:rsid w:val="00335D74"/>
    <w:rsid w:val="003412E6"/>
    <w:rsid w:val="00361A9C"/>
    <w:rsid w:val="003749D3"/>
    <w:rsid w:val="00382EF3"/>
    <w:rsid w:val="003849DC"/>
    <w:rsid w:val="003931DF"/>
    <w:rsid w:val="003A33FA"/>
    <w:rsid w:val="003C3D68"/>
    <w:rsid w:val="003C3F0A"/>
    <w:rsid w:val="003D09B7"/>
    <w:rsid w:val="003D7D79"/>
    <w:rsid w:val="00400A7E"/>
    <w:rsid w:val="00412E67"/>
    <w:rsid w:val="00420159"/>
    <w:rsid w:val="004210E8"/>
    <w:rsid w:val="00467786"/>
    <w:rsid w:val="00476183"/>
    <w:rsid w:val="00476C78"/>
    <w:rsid w:val="004779F0"/>
    <w:rsid w:val="0049176D"/>
    <w:rsid w:val="004C0D3B"/>
    <w:rsid w:val="004D4D5F"/>
    <w:rsid w:val="004E2D19"/>
    <w:rsid w:val="004F772F"/>
    <w:rsid w:val="0050017F"/>
    <w:rsid w:val="0050634F"/>
    <w:rsid w:val="00526771"/>
    <w:rsid w:val="00530ABD"/>
    <w:rsid w:val="00531AD0"/>
    <w:rsid w:val="005454A3"/>
    <w:rsid w:val="00554F06"/>
    <w:rsid w:val="00582B6E"/>
    <w:rsid w:val="005A49ED"/>
    <w:rsid w:val="005B0BE7"/>
    <w:rsid w:val="005C1BBD"/>
    <w:rsid w:val="005D390E"/>
    <w:rsid w:val="005D5204"/>
    <w:rsid w:val="005D58D7"/>
    <w:rsid w:val="005E2331"/>
    <w:rsid w:val="00605943"/>
    <w:rsid w:val="00616BE7"/>
    <w:rsid w:val="0063602B"/>
    <w:rsid w:val="006375D7"/>
    <w:rsid w:val="00641928"/>
    <w:rsid w:val="00647F4B"/>
    <w:rsid w:val="006654EF"/>
    <w:rsid w:val="0067480B"/>
    <w:rsid w:val="00677DF1"/>
    <w:rsid w:val="006955C4"/>
    <w:rsid w:val="006A03E6"/>
    <w:rsid w:val="006A51BD"/>
    <w:rsid w:val="006A7C04"/>
    <w:rsid w:val="006B419A"/>
    <w:rsid w:val="006B79CA"/>
    <w:rsid w:val="006C392C"/>
    <w:rsid w:val="006C4133"/>
    <w:rsid w:val="006C592D"/>
    <w:rsid w:val="006D5427"/>
    <w:rsid w:val="006E115B"/>
    <w:rsid w:val="006E599D"/>
    <w:rsid w:val="007065C8"/>
    <w:rsid w:val="00711E9B"/>
    <w:rsid w:val="007443A2"/>
    <w:rsid w:val="00745B33"/>
    <w:rsid w:val="00746155"/>
    <w:rsid w:val="00760C43"/>
    <w:rsid w:val="00771C60"/>
    <w:rsid w:val="00772F3C"/>
    <w:rsid w:val="00773D7B"/>
    <w:rsid w:val="007765B2"/>
    <w:rsid w:val="00780508"/>
    <w:rsid w:val="00794863"/>
    <w:rsid w:val="007A1333"/>
    <w:rsid w:val="007A4975"/>
    <w:rsid w:val="007B6ABC"/>
    <w:rsid w:val="007D6D97"/>
    <w:rsid w:val="007E3BED"/>
    <w:rsid w:val="008222A1"/>
    <w:rsid w:val="0083425B"/>
    <w:rsid w:val="00855FEB"/>
    <w:rsid w:val="0087755D"/>
    <w:rsid w:val="00882CC1"/>
    <w:rsid w:val="00883948"/>
    <w:rsid w:val="00884AEF"/>
    <w:rsid w:val="0088709A"/>
    <w:rsid w:val="00890F4E"/>
    <w:rsid w:val="00891A9B"/>
    <w:rsid w:val="00895410"/>
    <w:rsid w:val="008A00F9"/>
    <w:rsid w:val="008A433A"/>
    <w:rsid w:val="008A6BA3"/>
    <w:rsid w:val="008B4913"/>
    <w:rsid w:val="008B5C7B"/>
    <w:rsid w:val="008B6CF5"/>
    <w:rsid w:val="008C53D6"/>
    <w:rsid w:val="008E70B6"/>
    <w:rsid w:val="008E7620"/>
    <w:rsid w:val="009027C4"/>
    <w:rsid w:val="00902D97"/>
    <w:rsid w:val="00904551"/>
    <w:rsid w:val="00915163"/>
    <w:rsid w:val="009170D3"/>
    <w:rsid w:val="00917E22"/>
    <w:rsid w:val="00931DBE"/>
    <w:rsid w:val="00936D5E"/>
    <w:rsid w:val="00945A6B"/>
    <w:rsid w:val="009515A7"/>
    <w:rsid w:val="009632E1"/>
    <w:rsid w:val="00975A73"/>
    <w:rsid w:val="00980B14"/>
    <w:rsid w:val="00981C97"/>
    <w:rsid w:val="009855A5"/>
    <w:rsid w:val="009A03E5"/>
    <w:rsid w:val="009A2E80"/>
    <w:rsid w:val="009D1BB5"/>
    <w:rsid w:val="009D7CB9"/>
    <w:rsid w:val="009F7D0F"/>
    <w:rsid w:val="00A04442"/>
    <w:rsid w:val="00A07F5A"/>
    <w:rsid w:val="00A115FD"/>
    <w:rsid w:val="00A17C95"/>
    <w:rsid w:val="00A2539C"/>
    <w:rsid w:val="00A32418"/>
    <w:rsid w:val="00A429FF"/>
    <w:rsid w:val="00A47365"/>
    <w:rsid w:val="00A50965"/>
    <w:rsid w:val="00A73773"/>
    <w:rsid w:val="00A76240"/>
    <w:rsid w:val="00A82BF1"/>
    <w:rsid w:val="00A84100"/>
    <w:rsid w:val="00A84A5C"/>
    <w:rsid w:val="00A85FD9"/>
    <w:rsid w:val="00AA6273"/>
    <w:rsid w:val="00AB4A02"/>
    <w:rsid w:val="00AB78B8"/>
    <w:rsid w:val="00AC57BE"/>
    <w:rsid w:val="00AE183D"/>
    <w:rsid w:val="00AE2E63"/>
    <w:rsid w:val="00AE39AD"/>
    <w:rsid w:val="00AF4B34"/>
    <w:rsid w:val="00B122E6"/>
    <w:rsid w:val="00B21240"/>
    <w:rsid w:val="00B47630"/>
    <w:rsid w:val="00B51E8C"/>
    <w:rsid w:val="00B6024D"/>
    <w:rsid w:val="00B634BC"/>
    <w:rsid w:val="00B81CCF"/>
    <w:rsid w:val="00B830AF"/>
    <w:rsid w:val="00B85135"/>
    <w:rsid w:val="00B94EE3"/>
    <w:rsid w:val="00BA02F6"/>
    <w:rsid w:val="00BA46F1"/>
    <w:rsid w:val="00BA522A"/>
    <w:rsid w:val="00BA5267"/>
    <w:rsid w:val="00BC47BC"/>
    <w:rsid w:val="00BC4DE5"/>
    <w:rsid w:val="00BD18D5"/>
    <w:rsid w:val="00C0233D"/>
    <w:rsid w:val="00C06DBA"/>
    <w:rsid w:val="00C14214"/>
    <w:rsid w:val="00C16F96"/>
    <w:rsid w:val="00C24056"/>
    <w:rsid w:val="00C456CB"/>
    <w:rsid w:val="00C6656D"/>
    <w:rsid w:val="00C671C6"/>
    <w:rsid w:val="00C672D6"/>
    <w:rsid w:val="00C75429"/>
    <w:rsid w:val="00C80875"/>
    <w:rsid w:val="00CC6786"/>
    <w:rsid w:val="00CD597A"/>
    <w:rsid w:val="00CD5AC9"/>
    <w:rsid w:val="00CD7B2E"/>
    <w:rsid w:val="00CE15F7"/>
    <w:rsid w:val="00CE179D"/>
    <w:rsid w:val="00D30634"/>
    <w:rsid w:val="00D35528"/>
    <w:rsid w:val="00D47832"/>
    <w:rsid w:val="00D64C24"/>
    <w:rsid w:val="00D67664"/>
    <w:rsid w:val="00D76208"/>
    <w:rsid w:val="00D777C1"/>
    <w:rsid w:val="00D838B5"/>
    <w:rsid w:val="00D87B3E"/>
    <w:rsid w:val="00D90A29"/>
    <w:rsid w:val="00D92EBB"/>
    <w:rsid w:val="00D96DD7"/>
    <w:rsid w:val="00DB65CB"/>
    <w:rsid w:val="00DB70C7"/>
    <w:rsid w:val="00DC0617"/>
    <w:rsid w:val="00DC524B"/>
    <w:rsid w:val="00DD2D20"/>
    <w:rsid w:val="00DD42DE"/>
    <w:rsid w:val="00DD5BC0"/>
    <w:rsid w:val="00DD60BB"/>
    <w:rsid w:val="00DD619B"/>
    <w:rsid w:val="00DD7ADC"/>
    <w:rsid w:val="00DE7093"/>
    <w:rsid w:val="00E2655C"/>
    <w:rsid w:val="00E26793"/>
    <w:rsid w:val="00E312E9"/>
    <w:rsid w:val="00E57316"/>
    <w:rsid w:val="00E6181B"/>
    <w:rsid w:val="00E75DA7"/>
    <w:rsid w:val="00E76452"/>
    <w:rsid w:val="00E8409C"/>
    <w:rsid w:val="00E9774A"/>
    <w:rsid w:val="00EB79BB"/>
    <w:rsid w:val="00EC75A2"/>
    <w:rsid w:val="00ED305B"/>
    <w:rsid w:val="00ED6EDA"/>
    <w:rsid w:val="00EF1618"/>
    <w:rsid w:val="00EF2415"/>
    <w:rsid w:val="00F00A32"/>
    <w:rsid w:val="00F10547"/>
    <w:rsid w:val="00F17071"/>
    <w:rsid w:val="00F44490"/>
    <w:rsid w:val="00F4485A"/>
    <w:rsid w:val="00F54E79"/>
    <w:rsid w:val="00F738CD"/>
    <w:rsid w:val="00F80270"/>
    <w:rsid w:val="00F824C1"/>
    <w:rsid w:val="00F95A21"/>
    <w:rsid w:val="00FA4F38"/>
    <w:rsid w:val="00FC055E"/>
    <w:rsid w:val="00FC6808"/>
    <w:rsid w:val="00FF367E"/>
    <w:rsid w:val="00FF404F"/>
    <w:rsid w:val="00FF544B"/>
    <w:rsid w:val="18432610"/>
    <w:rsid w:val="290A0784"/>
    <w:rsid w:val="30FF21AD"/>
    <w:rsid w:val="686C3EE8"/>
    <w:rsid w:val="70E73E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仿宋" w:cs="Times New Roman"/>
      <w:kern w:val="2"/>
      <w:sz w:val="3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0"/>
    <w:semiHidden/>
    <w:unhideWhenUsed/>
    <w:qFormat/>
    <w:uiPriority w:val="99"/>
    <w:pPr>
      <w:ind w:left="100" w:leftChars="2500"/>
    </w:pPr>
  </w:style>
  <w:style w:type="paragraph" w:styleId="3">
    <w:name w:val="footer"/>
    <w:basedOn w:val="1"/>
    <w:link w:val="17"/>
    <w:unhideWhenUsed/>
    <w:qFormat/>
    <w:uiPriority w:val="99"/>
    <w:pPr>
      <w:tabs>
        <w:tab w:val="center" w:pos="4153"/>
        <w:tab w:val="right" w:pos="8306"/>
      </w:tabs>
      <w:snapToGrid w:val="0"/>
      <w:jc w:val="left"/>
    </w:pPr>
    <w:rPr>
      <w:sz w:val="18"/>
      <w:szCs w:val="18"/>
    </w:rPr>
  </w:style>
  <w:style w:type="paragraph" w:styleId="4">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Strong"/>
    <w:qFormat/>
    <w:uiPriority w:val="22"/>
    <w:rPr>
      <w:b/>
      <w:bCs/>
    </w:rPr>
  </w:style>
  <w:style w:type="character" w:styleId="10">
    <w:name w:val="FollowedHyperlink"/>
    <w:basedOn w:val="8"/>
    <w:semiHidden/>
    <w:unhideWhenUsed/>
    <w:uiPriority w:val="99"/>
    <w:rPr>
      <w:color w:val="333333"/>
      <w:u w:val="none"/>
    </w:rPr>
  </w:style>
  <w:style w:type="character" w:styleId="11">
    <w:name w:val="Emphasis"/>
    <w:basedOn w:val="8"/>
    <w:qFormat/>
    <w:uiPriority w:val="20"/>
  </w:style>
  <w:style w:type="character" w:styleId="12">
    <w:name w:val="HTML Definition"/>
    <w:basedOn w:val="8"/>
    <w:semiHidden/>
    <w:unhideWhenUsed/>
    <w:qFormat/>
    <w:uiPriority w:val="99"/>
  </w:style>
  <w:style w:type="character" w:styleId="13">
    <w:name w:val="HTML Variable"/>
    <w:basedOn w:val="8"/>
    <w:semiHidden/>
    <w:unhideWhenUsed/>
    <w:qFormat/>
    <w:uiPriority w:val="99"/>
  </w:style>
  <w:style w:type="character" w:styleId="14">
    <w:name w:val="Hyperlink"/>
    <w:basedOn w:val="8"/>
    <w:unhideWhenUsed/>
    <w:qFormat/>
    <w:uiPriority w:val="99"/>
    <w:rPr>
      <w:color w:val="0563C1"/>
      <w:u w:val="single"/>
    </w:rPr>
  </w:style>
  <w:style w:type="character" w:styleId="15">
    <w:name w:val="HTML Code"/>
    <w:basedOn w:val="8"/>
    <w:semiHidden/>
    <w:unhideWhenUsed/>
    <w:qFormat/>
    <w:uiPriority w:val="99"/>
    <w:rPr>
      <w:rFonts w:ascii="Courier New" w:hAnsi="Courier New"/>
      <w:sz w:val="20"/>
    </w:rPr>
  </w:style>
  <w:style w:type="character" w:styleId="16">
    <w:name w:val="HTML Cite"/>
    <w:basedOn w:val="8"/>
    <w:semiHidden/>
    <w:unhideWhenUsed/>
    <w:qFormat/>
    <w:uiPriority w:val="99"/>
  </w:style>
  <w:style w:type="character" w:customStyle="1" w:styleId="17">
    <w:name w:val="页脚 字符"/>
    <w:basedOn w:val="8"/>
    <w:link w:val="3"/>
    <w:qFormat/>
    <w:uiPriority w:val="99"/>
    <w:rPr>
      <w:rFonts w:eastAsia="仿宋"/>
      <w:sz w:val="18"/>
      <w:szCs w:val="18"/>
    </w:rPr>
  </w:style>
  <w:style w:type="character" w:customStyle="1" w:styleId="18">
    <w:name w:val="页眉 字符"/>
    <w:basedOn w:val="8"/>
    <w:link w:val="4"/>
    <w:qFormat/>
    <w:uiPriority w:val="99"/>
    <w:rPr>
      <w:rFonts w:eastAsia="仿宋"/>
      <w:sz w:val="18"/>
      <w:szCs w:val="18"/>
    </w:rPr>
  </w:style>
  <w:style w:type="paragraph" w:styleId="19">
    <w:name w:val="List Paragraph"/>
    <w:basedOn w:val="1"/>
    <w:qFormat/>
    <w:uiPriority w:val="34"/>
    <w:pPr>
      <w:ind w:firstLine="420" w:firstLineChars="200"/>
    </w:pPr>
    <w:rPr>
      <w:rFonts w:eastAsia="等线"/>
      <w:sz w:val="21"/>
    </w:rPr>
  </w:style>
  <w:style w:type="character" w:customStyle="1" w:styleId="20">
    <w:name w:val="日期 字符"/>
    <w:basedOn w:val="8"/>
    <w:link w:val="2"/>
    <w:semiHidden/>
    <w:qFormat/>
    <w:uiPriority w:val="99"/>
    <w:rPr>
      <w:rFonts w:eastAsia="仿宋"/>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65BD4D-4FB6-4036-94C0-7C279B700F22}">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149</Words>
  <Characters>850</Characters>
  <Lines>7</Lines>
  <Paragraphs>1</Paragraphs>
  <TotalTime>3</TotalTime>
  <ScaleCrop>false</ScaleCrop>
  <LinksUpToDate>false</LinksUpToDate>
  <CharactersWithSpaces>998</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2019-05-06T08:47:00Z</dcterms:created>
  <dc:creator>闫明相</dc:creator>
  <cp:lastModifiedBy>lenovo</cp:lastModifiedBy>
  <cp:lastPrinted>2021-09-08T02:46:42Z</cp:lastPrinted>
  <dcterms:modified xsi:type="dcterms:W3CDTF">2021-09-08T02:47:30Z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E365734079F242B1B4E0F4C531B1FDB2</vt:lpwstr>
  </property>
</Properties>
</file>