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年全国一级造价工程师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网络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继续教育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课程列表</w:t>
      </w:r>
      <w:bookmarkEnd w:id="0"/>
    </w:p>
    <w:tbl>
      <w:tblPr>
        <w:tblStyle w:val="7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6060"/>
        <w:gridCol w:w="1292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0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</w:t>
            </w:r>
            <w:r>
              <w:rPr>
                <w:rFonts w:hint="eastAsia" w:ascii="仿宋" w:hAnsi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信息化工程咨询审计浅谈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工程建设项目管理审计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多元化纠纷解决背景下工程造价争议解决方案分享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大型地产项目重计量案例分享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计量计价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全过程工程咨询策划与实践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建设工程竣工结算审查的重难点解析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计量计价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新能源发电工程全过程造价管理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新基建项目全过程咨询服务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面向数字建造的工程分解结构概论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市政工程投资造价控制及案例分析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计量计价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建筑工程设计变更管理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项目经理如何做好EPC模式的投资管控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机械法施工联络通道定额测定与经济分析研究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宁波轨道交通机电设备容量指标大数据管理系统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解析编制招标控制价的关键内容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房地产招采履约实施痛点分析及一体化创新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市场化清单计价模式与趋势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计量计价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EPC计价模式与结算重难点问题研究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片区综合开发模式、政策及操作要点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工程总承包项目“超概”防范与治理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铁路轨道工程定额知识讲座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计量计价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铁路工程桥涵预算定额应用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计量计价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《市政工程项目可行性研究案例分析》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工程建设安全责任保险要点解读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油田开发新建项目经济评价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石油天然气行业基于AI识别技术的工程造价编制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计量计价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国家管网建设项目投资决策评价的原理、方法特点及案例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电力工程司法鉴定及纠纷调解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经济鉴证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轻工业项目概算编制模式与方法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区块链技术及应用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数智化全过程工程咨询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全过程工程咨询之项目策划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建设工程施工合同纠纷的产生及处理探讨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建设工程工期争议解决方法研究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经济鉴证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建设工程项目安全管理标准化建设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新计价形势下的合同管理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从工程造价纠纷处理角度看造价四大知识点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BIM在医院建筑全生命周期中的应用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提升全过程工程咨询服务理念和价值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信息化工程咨询审计浅谈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综合咨询</w:t>
            </w:r>
          </w:p>
        </w:tc>
      </w:tr>
    </w:tbl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Cs w:val="32"/>
          <w:lang w:eastAsia="zh-CN"/>
        </w:rPr>
      </w:pPr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57785</wp:posOffset>
                </wp:positionV>
                <wp:extent cx="5615940" cy="0"/>
                <wp:effectExtent l="0" t="0" r="0" b="0"/>
                <wp:wrapTopAndBottom/>
                <wp:docPr id="8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80.05pt;margin-top:4.55pt;height:0pt;width:442.2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emtT9YAAAAIAQAA&#10;DwAAAAAAAAABACAAAAAiAAAAZHJzL2Rvd25yZXYueG1sUEsBAhQAFAAAAAgAh07iQLY+LBPiAQAA&#10;0AMAAA4AAAAAAAAAAQAgAAAAJQEAAGRycy9lMm9Eb2MueG1sUEsFBgAAAAAGAAYAWQEAAHkFAAAA&#10;AA==&#10;">
                <v:fill on="f" focussize="0,0"/>
                <v:stroke weight="1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" w:eastAsia="仿宋_GB2312"/>
          <w:sz w:val="28"/>
          <w:szCs w:val="28"/>
        </w:rPr>
        <w:t>抄报：住房和城乡建设部标准定额司</w:t>
      </w:r>
    </w:p>
    <w:p>
      <w:pPr>
        <w:spacing w:line="560" w:lineRule="exact"/>
        <w:rPr>
          <w:rFonts w:hint="default" w:ascii="仿宋" w:hAnsi="仿宋" w:eastAsia="仿宋_GB231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0" w:footer="1134" w:gutter="0"/>
          <w:cols w:space="425" w:num="1"/>
          <w:docGrid w:type="linesAndChars" w:linePitch="579" w:charSpace="-849"/>
        </w:sectPr>
      </w:pPr>
      <w:r>
        <w:rPr>
          <w:highlight w:val="yellow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408940</wp:posOffset>
                </wp:positionV>
                <wp:extent cx="5615940" cy="0"/>
                <wp:effectExtent l="0" t="0" r="0" b="0"/>
                <wp:wrapTopAndBottom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78.85pt;margin-top:32.2pt;height:0pt;width:442.2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wUaQjXAAAACgEA&#10;AA8AAAAAAAAAAQAgAAAAIgAAAGRycy9kb3ducmV2LnhtbFBLAQIUABQAAAAIAIdO4kDnke/c4gEA&#10;ANADAAAOAAAAAAAAAAEAIAAAACYBAABkcnMvZTJvRG9jLnhtbFBLBQYAAAAABgAGAFkBAAB6BQAA&#10;AAA=&#10;">
                <v:fill on="f" focussize="0,0"/>
                <v:stroke weight="1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1024890</wp:posOffset>
                </wp:positionH>
                <wp:positionV relativeFrom="paragraph">
                  <wp:posOffset>53975</wp:posOffset>
                </wp:positionV>
                <wp:extent cx="5615940" cy="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0.7pt;margin-top:4.25pt;height:0pt;width:442.2pt;mso-position-horizontal-relative:page;z-index:251660288;mso-width-relative:page;mso-height-relative:page;" filled="f" stroked="t" coordsize="21600,21600" o:gfxdata="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XdzR/WAAAACAEA&#10;AA8AAAAAAAAAAQAgAAAAIgAAAGRycy9kb3ducmV2LnhtbFBLAQIUABQAAAAIAIdO4kA/cBLX4wEA&#10;AM8DAAAOAAAAAAAAAAEAIAAAACUBAABkcnMvZTJvRG9jLnhtbFBLBQYAAAAABgAGAFkBAAB6BQAA&#10;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28"/>
          <w:szCs w:val="28"/>
        </w:rPr>
        <w:t xml:space="preserve">中国建设工程造价管理协会秘书处      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 xml:space="preserve">   202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年3月1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5日印发</w:t>
      </w:r>
    </w:p>
    <w:p>
      <w:pPr>
        <w:bidi w:val="0"/>
        <w:jc w:val="left"/>
        <w:rPr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2098" w:right="1474" w:bottom="1985" w:left="1588" w:header="0" w:footer="113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center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t xml:space="preserve">                                                  </w:t>
    </w: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hint="eastAsia" w:ascii="宋体" w:hAnsi="宋体" w:eastAsia="宋体"/>
          <w:sz w:val="28"/>
          <w:szCs w:val="28"/>
        </w:rPr>
        <w:id w:val="1783535578"/>
        <w:docPartObj>
          <w:docPartGallery w:val="autotext"/>
        </w:docPartObj>
      </w:sdtPr>
      <w:sdtEndPr>
        <w:rPr>
          <w:rFonts w:hint="eastAsia" w:ascii="宋体" w:hAnsi="宋体" w:eastAsia="宋体"/>
          <w:sz w:val="28"/>
          <w:szCs w:val="28"/>
        </w:rPr>
      </w:sdtEndPr>
      <w:sdtContent>
        <w:r>
          <w:rPr>
            <w:rFonts w:hint="eastAsia" w:ascii="宋体" w:hAnsi="宋体" w:eastAsia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 w:eastAsia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/>
            <w:sz w:val="28"/>
            <w:szCs w:val="28"/>
          </w:rPr>
          <w:t>2</w:t>
        </w:r>
        <w:r>
          <w:rPr>
            <w:rFonts w:hint="eastAsia"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 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hint="eastAsia" w:ascii="宋体" w:hAnsi="宋体" w:eastAsia="宋体"/>
          <w:sz w:val="28"/>
          <w:szCs w:val="28"/>
        </w:rPr>
        <w:id w:val="-1866508705"/>
        <w:docPartObj>
          <w:docPartGallery w:val="autotext"/>
        </w:docPartObj>
      </w:sdtPr>
      <w:sdtEndPr>
        <w:rPr>
          <w:rFonts w:hint="eastAsia" w:ascii="宋体" w:hAnsi="宋体" w:eastAsia="宋体"/>
          <w:sz w:val="28"/>
          <w:szCs w:val="28"/>
        </w:rPr>
      </w:sdtEndPr>
      <w:sdtContent>
        <w:r>
          <w:rPr>
            <w:rFonts w:hint="eastAsia" w:ascii="宋体" w:hAnsi="宋体" w:eastAsia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 w:eastAsia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/>
            <w:sz w:val="28"/>
            <w:szCs w:val="28"/>
          </w:rPr>
          <w:t>2</w:t>
        </w:r>
        <w:r>
          <w:rPr>
            <w:rFonts w:hint="eastAsia"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hint="eastAsia" w:ascii="宋体" w:hAnsi="宋体" w:eastAsia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hint="eastAsia"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mZGMzMGJlNDY5MGExMDdhOThmMzA1MTlkZWFjYjYifQ=="/>
  </w:docVars>
  <w:rsids>
    <w:rsidRoot w:val="00BC4DE5"/>
    <w:rsid w:val="00006895"/>
    <w:rsid w:val="00077D16"/>
    <w:rsid w:val="000A0241"/>
    <w:rsid w:val="000A70EA"/>
    <w:rsid w:val="000B766C"/>
    <w:rsid w:val="000D1B03"/>
    <w:rsid w:val="000D3F93"/>
    <w:rsid w:val="000F74C9"/>
    <w:rsid w:val="00107732"/>
    <w:rsid w:val="0012142A"/>
    <w:rsid w:val="001266BD"/>
    <w:rsid w:val="00137306"/>
    <w:rsid w:val="00153265"/>
    <w:rsid w:val="0015470D"/>
    <w:rsid w:val="00197CCE"/>
    <w:rsid w:val="001E241E"/>
    <w:rsid w:val="001F133B"/>
    <w:rsid w:val="001F5B2C"/>
    <w:rsid w:val="0020532C"/>
    <w:rsid w:val="00205C1A"/>
    <w:rsid w:val="00217F9F"/>
    <w:rsid w:val="00224EA8"/>
    <w:rsid w:val="00234C29"/>
    <w:rsid w:val="002818D1"/>
    <w:rsid w:val="00295F76"/>
    <w:rsid w:val="002A5570"/>
    <w:rsid w:val="002F76C1"/>
    <w:rsid w:val="003177C2"/>
    <w:rsid w:val="003749D3"/>
    <w:rsid w:val="00382EF3"/>
    <w:rsid w:val="003849DC"/>
    <w:rsid w:val="003A33FA"/>
    <w:rsid w:val="003C3D68"/>
    <w:rsid w:val="00420159"/>
    <w:rsid w:val="004210E8"/>
    <w:rsid w:val="00476183"/>
    <w:rsid w:val="00476C78"/>
    <w:rsid w:val="0049176D"/>
    <w:rsid w:val="004C0D3B"/>
    <w:rsid w:val="004D4D5F"/>
    <w:rsid w:val="004F772F"/>
    <w:rsid w:val="00526771"/>
    <w:rsid w:val="00530ABD"/>
    <w:rsid w:val="00531AD0"/>
    <w:rsid w:val="005454A3"/>
    <w:rsid w:val="00554F06"/>
    <w:rsid w:val="00582B6E"/>
    <w:rsid w:val="005D390E"/>
    <w:rsid w:val="005D5204"/>
    <w:rsid w:val="005D58D7"/>
    <w:rsid w:val="00605943"/>
    <w:rsid w:val="00616BE7"/>
    <w:rsid w:val="0063602B"/>
    <w:rsid w:val="00641928"/>
    <w:rsid w:val="00647F4B"/>
    <w:rsid w:val="0067480B"/>
    <w:rsid w:val="006955C4"/>
    <w:rsid w:val="006A03E6"/>
    <w:rsid w:val="006B79CA"/>
    <w:rsid w:val="006C392C"/>
    <w:rsid w:val="006C4133"/>
    <w:rsid w:val="006C592D"/>
    <w:rsid w:val="006D5427"/>
    <w:rsid w:val="006E599D"/>
    <w:rsid w:val="00702D6A"/>
    <w:rsid w:val="00746155"/>
    <w:rsid w:val="00771C60"/>
    <w:rsid w:val="00772F3C"/>
    <w:rsid w:val="007765B2"/>
    <w:rsid w:val="00780508"/>
    <w:rsid w:val="00794863"/>
    <w:rsid w:val="007B6ABC"/>
    <w:rsid w:val="007D6D97"/>
    <w:rsid w:val="0083425B"/>
    <w:rsid w:val="00883948"/>
    <w:rsid w:val="00890F4E"/>
    <w:rsid w:val="008A00F9"/>
    <w:rsid w:val="008A6BA3"/>
    <w:rsid w:val="008B4913"/>
    <w:rsid w:val="008B5C7B"/>
    <w:rsid w:val="008C53D6"/>
    <w:rsid w:val="008E70B6"/>
    <w:rsid w:val="009027C4"/>
    <w:rsid w:val="00902D97"/>
    <w:rsid w:val="00917E22"/>
    <w:rsid w:val="00931DBE"/>
    <w:rsid w:val="00936D5E"/>
    <w:rsid w:val="00954735"/>
    <w:rsid w:val="009632E1"/>
    <w:rsid w:val="00980B14"/>
    <w:rsid w:val="00981C97"/>
    <w:rsid w:val="009855A5"/>
    <w:rsid w:val="009B5696"/>
    <w:rsid w:val="009D1BB5"/>
    <w:rsid w:val="009D7CB9"/>
    <w:rsid w:val="009F7D0F"/>
    <w:rsid w:val="00A04442"/>
    <w:rsid w:val="00A2539C"/>
    <w:rsid w:val="00A361D2"/>
    <w:rsid w:val="00A429FF"/>
    <w:rsid w:val="00A73773"/>
    <w:rsid w:val="00A76240"/>
    <w:rsid w:val="00AC57BE"/>
    <w:rsid w:val="00AE183D"/>
    <w:rsid w:val="00AE2E63"/>
    <w:rsid w:val="00AE39AD"/>
    <w:rsid w:val="00AF4B34"/>
    <w:rsid w:val="00B21240"/>
    <w:rsid w:val="00B47630"/>
    <w:rsid w:val="00B634BC"/>
    <w:rsid w:val="00B830AF"/>
    <w:rsid w:val="00BC4DE5"/>
    <w:rsid w:val="00C06DBA"/>
    <w:rsid w:val="00C14214"/>
    <w:rsid w:val="00C16F96"/>
    <w:rsid w:val="00C24056"/>
    <w:rsid w:val="00C456CB"/>
    <w:rsid w:val="00C6656D"/>
    <w:rsid w:val="00C672D6"/>
    <w:rsid w:val="00C75429"/>
    <w:rsid w:val="00C80875"/>
    <w:rsid w:val="00CC6786"/>
    <w:rsid w:val="00CD5AC9"/>
    <w:rsid w:val="00D30634"/>
    <w:rsid w:val="00D47832"/>
    <w:rsid w:val="00D777C1"/>
    <w:rsid w:val="00D838B5"/>
    <w:rsid w:val="00D87B3E"/>
    <w:rsid w:val="00D90A29"/>
    <w:rsid w:val="00D92EBB"/>
    <w:rsid w:val="00DC0617"/>
    <w:rsid w:val="00DD2D20"/>
    <w:rsid w:val="00DD5BC0"/>
    <w:rsid w:val="00DD60BB"/>
    <w:rsid w:val="00E2655C"/>
    <w:rsid w:val="00E57316"/>
    <w:rsid w:val="00E76452"/>
    <w:rsid w:val="00E8409C"/>
    <w:rsid w:val="00ED6EDA"/>
    <w:rsid w:val="00EF2415"/>
    <w:rsid w:val="00F10547"/>
    <w:rsid w:val="00F33B6A"/>
    <w:rsid w:val="00F44490"/>
    <w:rsid w:val="00F4485A"/>
    <w:rsid w:val="00FC055E"/>
    <w:rsid w:val="012B4232"/>
    <w:rsid w:val="018A7679"/>
    <w:rsid w:val="04193AEA"/>
    <w:rsid w:val="06D53145"/>
    <w:rsid w:val="09F02119"/>
    <w:rsid w:val="0C367706"/>
    <w:rsid w:val="1AC46965"/>
    <w:rsid w:val="1D7378F6"/>
    <w:rsid w:val="25AD7C76"/>
    <w:rsid w:val="2ACD0453"/>
    <w:rsid w:val="2C7F577D"/>
    <w:rsid w:val="34A42225"/>
    <w:rsid w:val="37150F5C"/>
    <w:rsid w:val="3C26297C"/>
    <w:rsid w:val="3CFB38B6"/>
    <w:rsid w:val="3DD71E0B"/>
    <w:rsid w:val="4609224D"/>
    <w:rsid w:val="47F072AD"/>
    <w:rsid w:val="518A31E0"/>
    <w:rsid w:val="574D4BDD"/>
    <w:rsid w:val="5BBF0405"/>
    <w:rsid w:val="686C3EE8"/>
    <w:rsid w:val="699D0A15"/>
    <w:rsid w:val="6DE81A6F"/>
    <w:rsid w:val="7DBA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unhideWhenUsed/>
    <w:qFormat/>
    <w:uiPriority w:val="99"/>
    <w:rPr>
      <w:color w:val="0563C1"/>
      <w:u w:val="single"/>
    </w:rPr>
  </w:style>
  <w:style w:type="character" w:customStyle="1" w:styleId="12">
    <w:name w:val="页脚 字符"/>
    <w:basedOn w:val="9"/>
    <w:link w:val="4"/>
    <w:qFormat/>
    <w:uiPriority w:val="99"/>
    <w:rPr>
      <w:rFonts w:eastAsia="仿宋"/>
      <w:sz w:val="18"/>
      <w:szCs w:val="18"/>
    </w:rPr>
  </w:style>
  <w:style w:type="character" w:customStyle="1" w:styleId="13">
    <w:name w:val="页眉 字符"/>
    <w:basedOn w:val="9"/>
    <w:link w:val="5"/>
    <w:qFormat/>
    <w:uiPriority w:val="99"/>
    <w:rPr>
      <w:rFonts w:eastAsia="仿宋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eastAsiaTheme="minorEastAsia"/>
      <w:sz w:val="21"/>
    </w:rPr>
  </w:style>
  <w:style w:type="character" w:customStyle="1" w:styleId="15">
    <w:name w:val="日期 字符"/>
    <w:basedOn w:val="9"/>
    <w:link w:val="3"/>
    <w:semiHidden/>
    <w:qFormat/>
    <w:uiPriority w:val="99"/>
    <w:rPr>
      <w:rFonts w:eastAsia="仿宋"/>
      <w:sz w:val="32"/>
    </w:rPr>
  </w:style>
  <w:style w:type="character" w:customStyle="1" w:styleId="16">
    <w:name w:val="标题 2 字符"/>
    <w:basedOn w:val="9"/>
    <w:link w:val="2"/>
    <w:qFormat/>
    <w:uiPriority w:val="9"/>
    <w:rPr>
      <w:rFonts w:ascii="宋体" w:hAnsi="宋体" w:eastAsia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A243BF-58CE-4FD0-8042-D2540C6863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964</Words>
  <Characters>1009</Characters>
  <Lines>14</Lines>
  <Paragraphs>4</Paragraphs>
  <TotalTime>34</TotalTime>
  <ScaleCrop>false</ScaleCrop>
  <LinksUpToDate>false</LinksUpToDate>
  <CharactersWithSpaces>1019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2018-10-31T07:12:00Z</dcterms:created>
  <dc:creator>闫明相</dc:creator>
  <cp:lastModifiedBy>yuechen</cp:lastModifiedBy>
  <cp:lastPrinted>2023-03-20T08:21:00Z</cp:lastPrinted>
  <dcterms:modified xsi:type="dcterms:W3CDTF">2023-03-21T05:52:44Z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9EED285A1466443BADE750D6A2B949F7</vt:lpwstr>
  </property>
</Properties>
</file>